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ОБЈЕКТИ КОЈИ ПРЕЛАЗЕ МЕЂЕ И ЗАЛАЗЕ НА СУСЕДНЕ ПАРЦЕЛЕ</w:t>
      </w:r>
    </w:p>
    <w:p>
      <w:pPr>
        <w:spacing w:after="160"/>
        <w:jc w:val="both"/>
      </w:pPr>
      <w:r>
        <w:rPr>
          <w:sz w:val="22"/>
          <w:szCs w:val="22"/>
        </w:rPr>
        <w:t xml:space="preserve">На парцелама 11614/20, 11614/21 и 2311/15 у катастру је уписан терет да се делови зграда налазе и на другим катастарским парцелама. Део тих уписа је сасвим нов, из маја и августа 2026. године. Исти терет уписан је и на парцели 11614/1, на којој се налази Бајфордова шума.</w:t>
      </w:r>
    </w:p>
    <w:p>
      <w:pPr>
        <w:spacing w:after="160"/>
        <w:jc w:val="both"/>
      </w:pPr>
      <w:r>
        <w:rPr>
          <w:sz w:val="22"/>
          <w:szCs w:val="22"/>
        </w:rPr>
        <w:t xml:space="preserve">Из материјала на раном јавном увиду не могу да утврдим који објекти прелазе међе, на чије земљиште залазе и да ли неки од њих залази у парцелу Бајфордове шуме.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прикажу сви објекти који прелазе међе са њиховим правним статусом и да се изричито наведе да ли било који објекат из обухвата залази у парцелу 11614/1.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2026-10-04T02:32:49.504Z</dcterms:created>
  <dcterms:modified xsi:type="dcterms:W3CDTF">2026-10-04T02:32:49.504Z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