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ПРЕКОРАЧЕН ИНДЕКС ИЗГРАЂЕНОСТИ И НЕУСКЛАЂЕНИ ПАРАМЕТРИ</w:t>
      </w:r>
    </w:p>
    <w:p>
      <w:pPr>
        <w:spacing w:after="160"/>
        <w:jc w:val="both"/>
      </w:pPr>
      <w:r>
        <w:rPr>
          <w:sz w:val="22"/>
          <w:szCs w:val="22"/>
        </w:rPr>
        <w:t xml:space="preserve">Према Информацији Секретаријата од 14.09.2026. године, ПГР за зону С6 прописује највећи индекс изграђености 2,8. Елаборат у зони С6 површине 12.737 m² планира 36.000 m² становања. То даје индекс 2,83, дакле више од дозвољеног, и то пре него што се од површине зоне одузму саобраћајнице и друге јавне површине.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је и сам са собом неусклађен. У правилима грађења за зону С6 наводи се најмање 15% зеленила у директном контакту са тлом, а у Табели 4 за исту зону стоји 10%.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од зоне С6 одустане, јер предложени капацитет прелази и оне параметре на које се елаборат сам позива, а текст и табеле елабората се међусобно не слажу.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2026-10-04T02:32:49.458Z</dcterms:created>
  <dcterms:modified xsi:type="dcterms:W3CDTF">2026-10-04T02:32:49.458Z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