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НЕРЕШЕН ПРАВНИ СТАТУС ОБЈЕКАТА НА ГРАДСКОЈ ПАРЦЕЛИ</w:t>
      </w:r>
    </w:p>
    <w:p>
      <w:pPr>
        <w:spacing w:after="160"/>
        <w:jc w:val="both"/>
      </w:pPr>
      <w:r>
        <w:rPr>
          <w:sz w:val="22"/>
          <w:szCs w:val="22"/>
        </w:rPr>
        <w:t xml:space="preserve">На парцели 11614/21, која је у јавној својини Града Београда, објекат број 2 (168 m²) уписан је на привредно друштво само као држаоца, а не као власника.</w:t>
      </w:r>
    </w:p>
    <w:p>
      <w:pPr>
        <w:spacing w:after="160"/>
        <w:jc w:val="both"/>
      </w:pPr>
      <w:r>
        <w:rPr>
          <w:sz w:val="22"/>
          <w:szCs w:val="22"/>
        </w:rPr>
        <w:t xml:space="preserve">На истој парцели уписане су забележбе пријема више захтева из августа и септембра 2026. године за евидентирање и упис права на објектима (бројеви 952-10-231-373307/2026, 952-10-231-387157/2026, 952-10-231-605698/2026 и 952-10-231-670937/2026). Уписана је и забележба да првостепена одлука број 952-02-6-231-56367/2026 није коначна.</w:t>
      </w:r>
    </w:p>
    <w:p>
      <w:pPr>
        <w:spacing w:after="160"/>
        <w:jc w:val="both"/>
      </w:pPr>
      <w:r>
        <w:rPr>
          <w:sz w:val="22"/>
          <w:szCs w:val="22"/>
        </w:rPr>
        <w:t xml:space="preserve">План се дакле израђује у тренутку када се о правима на објектима у обухвату тек одлучује.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израда плана не наставља док ови поступци не буду окончани и да се у плану јасно прикаже који објекти на парцели 11614/21 имају уписано право својине, а који немају.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2026-10-04T02:32:49.435Z</dcterms:created>
  <dcterms:modified xsi:type="dcterms:W3CDTF">2026-10-04T02:32:49.435Z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