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ЕЛАБОРАТ ПРЕЋУТКУЈЕ ЗАШТИЋЕНУ БАЈФОРДОВУ ШУМУ</w:t>
      </w:r>
    </w:p>
    <w:p>
      <w:pPr>
        <w:spacing w:after="160"/>
        <w:jc w:val="both"/>
      </w:pPr>
      <w:r>
        <w:rPr>
          <w:sz w:val="22"/>
          <w:szCs w:val="22"/>
        </w:rPr>
        <w:t xml:space="preserve">У поглављу о заштити природе елаборат наводи да на предметном подручју нема заштићених природних добара. О Бајфордовој шуми, са којом обухват граничи целом западном страном, не каже ништа.</w:t>
      </w:r>
    </w:p>
    <w:p>
      <w:pPr>
        <w:spacing w:after="160"/>
        <w:jc w:val="both"/>
      </w:pPr>
      <w:r>
        <w:rPr>
          <w:sz w:val="22"/>
          <w:szCs w:val="22"/>
        </w:rPr>
        <w:t xml:space="preserve">Решење о стратешкој процени утицаја (IX-03 бр. 350.14-43/25 од 20.01.2026) каже супротно: планирани садржаји су у непосредном контакту са спомеником природе „Бајфордова шума“, стаништем око седамдесет врста птица. Извод из ПГР-а у документацији елабората цео обухват приказује у категорији шумских екосистема.</w:t>
      </w:r>
    </w:p>
    <w:p>
      <w:pPr>
        <w:spacing w:after="160"/>
        <w:jc w:val="both"/>
      </w:pPr>
      <w:r>
        <w:rPr>
          <w:sz w:val="22"/>
          <w:szCs w:val="22"/>
        </w:rPr>
        <w:t xml:space="preserve">Међу ограничењима елаборат наводи само усаглашавање са суседним плановима и уклапање у околно ткиво. Заштићена шума се као ограничење не помиње, а капацитет од 36.000 m² одређен је пре него што је стратешка процена израђена.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елаборат исправи тако да Бајфордову шуму наведе као заштићено природно добро и основно ограничење, да се пре израде нацрта прибаве и објаве услови Завода за заштиту природе Србије и управљача шуме и да се уз границу заштићеног подручја не планира нова изградња.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2026-10-04T02:32:49.323Z</dcterms:created>
  <dcterms:modified xsi:type="dcterms:W3CDTF">2026-10-04T02:32:49.323Z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