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b/>
          <w:bCs/>
          <w:sz w:val="22"/>
          <w:szCs w:val="22"/>
        </w:rPr>
        <w:t xml:space="preserve">СЕКРЕТАРИЈАТ ЗА УРБАНИЗАМ И ГРАЂЕВИНСКЕ ПОСЛОВЕ</w:t>
      </w:r>
    </w:p>
    <w:p>
      <w:pPr>
        <w:spacing w:after="0"/>
      </w:pPr>
      <w:r>
        <w:rPr>
          <w:sz w:val="22"/>
          <w:szCs w:val="22"/>
        </w:rPr>
        <w:t xml:space="preserve">Градска управа Града Београда</w:t>
      </w:r>
    </w:p>
    <w:p>
      <w:pPr>
        <w:spacing w:after="0"/>
      </w:pPr>
      <w:r>
        <w:rPr>
          <w:sz w:val="22"/>
          <w:szCs w:val="22"/>
        </w:rPr>
        <w:t xml:space="preserve">Краљице Марије 1</w:t>
      </w:r>
    </w:p>
    <w:p>
      <w:pPr>
        <w:spacing w:after="300"/>
      </w:pPr>
      <w:r>
        <w:rPr>
          <w:sz w:val="22"/>
          <w:szCs w:val="22"/>
        </w:rPr>
        <w:t xml:space="preserve">11000 Београд</w:t>
      </w:r>
    </w:p>
    <w:p>
      <w:pPr>
        <w:spacing w:after="300"/>
      </w:pPr>
      <w:r>
        <w:rPr>
          <w:b/>
          <w:bCs/>
          <w:sz w:val="22"/>
          <w:szCs w:val="22"/>
        </w:rPr>
        <w:t xml:space="preserve">ПРЕДМЕТ: </w:t>
      </w:r>
      <w:r>
        <w:rPr>
          <w:sz w:val="22"/>
          <w:szCs w:val="22"/>
        </w:rPr>
        <w:t xml:space="preserve">Примедба у току раног јавног увида на Елаборат за потребе израде Плана детаљне регулације за комерцијалну зону уз Булевар ослобођења, Градска општина Вождовац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Подносилац</w:t>
      </w:r>
    </w:p>
    <w:p>
      <w:pPr>
        <w:spacing w:after="160"/>
      </w:pPr>
      <w:r>
        <w:rPr>
          <w:sz w:val="22"/>
          <w:szCs w:val="22"/>
        </w:rPr>
        <w:t xml:space="preserve">Име и презиме: ______________________________________________</w:t>
      </w:r>
    </w:p>
    <w:p>
      <w:pPr>
        <w:spacing w:after="160"/>
      </w:pPr>
      <w:r>
        <w:rPr>
          <w:sz w:val="22"/>
          <w:szCs w:val="22"/>
        </w:rPr>
        <w:t xml:space="preserve">Адреса: ______________________________________________</w:t>
      </w:r>
    </w:p>
    <w:p>
      <w:pPr>
        <w:spacing w:after="400"/>
      </w:pPr>
      <w:r>
        <w:rPr>
          <w:sz w:val="22"/>
          <w:szCs w:val="22"/>
        </w:rPr>
        <w:t xml:space="preserve">Контакт (телефон/e-mail): ______________________________________________</w:t>
      </w:r>
    </w:p>
    <w:p>
      <w:pPr>
        <w:spacing w:after="240"/>
      </w:pPr>
      <w:r>
        <w:rPr>
          <w:b/>
          <w:bCs/>
          <w:sz w:val="24"/>
          <w:szCs w:val="24"/>
        </w:rPr>
        <w:t xml:space="preserve">СТАНОВАЊЕ ПРЕЛАЗИ УДЕО КОЈИ ДОЗВОЉАВАЈУ ОДЛУКА И ПЛАН ВИШЕГ РЕДА</w:t>
      </w:r>
    </w:p>
    <w:p>
      <w:pPr>
        <w:spacing w:after="160"/>
        <w:jc w:val="both"/>
      </w:pPr>
      <w:r>
        <w:rPr>
          <w:sz w:val="22"/>
          <w:szCs w:val="22"/>
        </w:rPr>
        <w:t xml:space="preserve">Чланом 4 Одлуке о изради плана („Службени лист града Београда“ бр. 60/26) циљ плана је планирање комерцијалних садржаја и компатибилних намена у складу са ПГР-ом. ПГР за зону К2, која важи на целом обухвату, дозвољава компатибилне намене највише до 49%.</w:t>
      </w:r>
    </w:p>
    <w:p>
      <w:pPr>
        <w:spacing w:after="160"/>
        <w:jc w:val="both"/>
      </w:pPr>
      <w:r>
        <w:rPr>
          <w:sz w:val="22"/>
          <w:szCs w:val="22"/>
        </w:rPr>
        <w:t xml:space="preserve">Елаборат планира 36.000 m² становања и 16.285 m² комерцијалних садржаја. Становање тако чини око 69% укупне површине објеката и постаје претежна намена, а у северном делу и основна намена са уделом од 80%.</w:t>
      </w:r>
    </w:p>
    <w:p>
      <w:pPr>
        <w:spacing w:after="160"/>
        <w:jc w:val="both"/>
      </w:pPr>
      <w:r>
        <w:rPr>
          <w:sz w:val="22"/>
          <w:szCs w:val="22"/>
        </w:rPr>
        <w:t xml:space="preserve">Ово одступање је констатовао и сам Секретаријат у Информацији од 14.09.2026. године. Комисија за планове га је на 214. седници 15.09.2026. прихватила без образложења које је доступно јавности.</w:t>
      </w:r>
    </w:p>
    <w:p>
      <w:pPr>
        <w:spacing w:after="400"/>
        <w:jc w:val="both"/>
      </w:pPr>
      <w:r>
        <w:rPr>
          <w:b/>
          <w:bCs/>
          <w:sz w:val="22"/>
          <w:szCs w:val="22"/>
        </w:rPr>
        <w:t xml:space="preserve">Тражим </w:t>
      </w:r>
      <w:r>
        <w:rPr>
          <w:sz w:val="22"/>
          <w:szCs w:val="22"/>
        </w:rPr>
        <w:t xml:space="preserve">да се од становања у обухвату плана одустане, јер за њега као претежну намену нема основа ни у Одлуци ни у ПГР-у. Ако Град жели другачију намену, то може да учини само изменом ПГР-а у посебном поступку, уз учешће јавности.</w:t>
      </w:r>
    </w:p>
    <w:p>
      <w:pPr>
        <w:spacing w:after="24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24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48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160"/>
      </w:pPr>
      <w:r>
        <w:rPr>
          <w:sz w:val="22"/>
          <w:szCs w:val="22"/>
        </w:rPr>
        <w:t xml:space="preserve">Београд, _______________ 2026. године</w:t>
      </w:r>
    </w:p>
    <w:p>
      <w:pPr>
        <w:spacing w:after="160"/>
        <w:jc w:val="right"/>
      </w:pPr>
      <w:r>
        <w:rPr>
          <w:sz w:val="22"/>
          <w:szCs w:val="22"/>
        </w:rPr>
        <w:t xml:space="preserve">Потпис: ___________________________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2026-10-04T02:32:49.270Z</dcterms:created>
  <dcterms:modified xsi:type="dcterms:W3CDTF">2026-10-04T02:32:49.270Z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